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2958DCBA" w:rsidR="00852459" w:rsidRPr="00FC3F8A" w:rsidRDefault="003B3216" w:rsidP="003B3216">
      <w:hyperlink r:id="rId7" w:history="1">
        <w:r w:rsidRPr="00EE706E">
          <w:rPr>
            <w:rStyle w:val="Collegamentoipertestuale"/>
          </w:rPr>
          <w:t>https://www.lecodelsud.it/panetta-bankitalia-i-dazi-sono-un-rischio-anche-per-chi-li-impone-le-soluzioni-negoziali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ecodelsud.it/panetta-bankitalia-i-dazi-sono-un-rischio-anche-per-chi-li-impone-le-soluzioni-negozial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2025-02-24T13:57:00Z</dcterms:created>
  <dcterms:modified xsi:type="dcterms:W3CDTF">2025-02-24T13:58:00Z</dcterms:modified>
</cp:coreProperties>
</file>